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NW_28785 (Nordrhein-Westfalen)</w:t>
      </w:r>
    </w:p>
    <w:p>
      <w:r>
        <w:rPr>
          <w:color w:val="555555"/>
          <w:sz w:val="18"/>
        </w:rPr>
        <w:t xml:space="preserve">Gesetz über das Verfahren bei Volksinitiative, Volksbegehren und Volksentscheid (VIVBVEG);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Landeswahlausschuss (§ 9 des Landeswahlgesetzes) stellt die Gesamtsumme der rechtzeitig geschehenen gültigen Eintragungen und gegebenenfalls gültigen frei gesammelten Unterschriften fest.</w:t>
      </w:r>
    </w:p>
    <w:p>
      <w:r>
        <w:t xml:space="preserve">(2) Die Landesregierung prüft, ob das Volksbegehren rechtswirksam zustande gekommen ist.</w:t>
      </w:r>
    </w:p>
    <w:p>
      <w:r>
        <w:rPr>
          <w:color w:val="555555"/>
          <w:sz w:val="17"/>
        </w:rPr>
        <w:t xml:space="preserve">Zitiervorschlag: § 19 NW_28785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https://recht.nulegal.eu/gesetze/NW_28785/19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