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NW_28785 (Nordrhein-Westfalen)</w:t>
      </w:r>
    </w:p>
    <w:p>
      <w:r>
        <w:rPr>
          <w:color w:val="555555"/>
          <w:sz w:val="18"/>
        </w:rPr>
        <w:t xml:space="preserve">Gesetz über das Verfahren bei Volksinitiative, Volksbegehren und Volksentscheid (VIVBVEG);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Nach Ablauf der Eintragungsfrist und, falls Eintragungslisten erst nach Beginn der Frist auf Beschwerde entgegengenommen sind (§ 15 Abs. 2), nach Ablauf der Nachfrist schließen die Gemeindebehörden die Eintragungslisten ab und senden sie unverzüglich an die Landeswahlleiterin oder den Landeswahlleiter ab. Sofern parallel eine freie Unterschriftensammlung durchgeführt wird, stellen die Gemeindebehörden die abgeschlossenen Eintragungslisten den Vertreterinnen oder den Vertretern des Volksbegehrens zur Verfügung.</w:t>
      </w:r>
    </w:p>
    <w:p>
      <w:r>
        <w:t xml:space="preserve">(2) Nach Ablauf der Eintragungs- oder Nachfrist auf Beschwerde zugelassene Eintragungsberechtigte haben ihre Eintragung in einem Nachtrag zur Eintragungsliste zu bewirken; Absatz 1 findet auf die Nachtragsliste Anwendung.</w:t>
      </w:r>
    </w:p>
    <w:p>
      <w:r>
        <w:rPr>
          <w:color w:val="555555"/>
          <w:sz w:val="17"/>
        </w:rPr>
        <w:t xml:space="preserve">Zitiervorschlag: § 18 NW_28785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https://recht.nulegal.eu/gesetze/NW_28785/18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