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Eintragung geschieht eigenhändig.</w:t>
      </w:r>
    </w:p>
    <w:p>
      <w:r>
        <w:t xml:space="preserve">(2) Erklären Eintragungsberechtigte, dass sie nicht schreiben können, so ist die Eintragung von Amts wegen unter Vermerk dieser Erklärung zu bewirken.</w:t>
      </w:r>
    </w:p>
    <w:p>
      <w:r>
        <w:rPr>
          <w:color w:val="555555"/>
          <w:sz w:val="17"/>
        </w:rPr>
        <w:t xml:space="preserve">Zitiervorschlag: § 16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