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14 NW_28785 (Nordrhein-Westfalen)</w:t>
      </w:r>
    </w:p>
    <w:p>
      <w:r>
        <w:rPr>
          <w:color w:val="555555"/>
          <w:sz w:val="18"/>
        </w:rPr>
        <w:t xml:space="preserve">Gesetz über das Verfahren bei Volksinitiative, Volksbegehren und Volksentscheid (VIVBVEG); Bekanntmachung der Neufassung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Einen Eintragungsschein stellt die Gemeinde des Wohnorts den Stimmberechtigten auf ihren Antrag nach Veröffentlichung der Zulassung der Listenauslegung bis zum Ende der vorletzten Woche der Eintragungsfrist aus.</w:t>
      </w:r>
    </w:p>
    <w:p>
      <w:r>
        <w:rPr>
          <w:color w:val="555555"/>
          <w:sz w:val="17"/>
        </w:rPr>
        <w:t xml:space="preserve">Zitiervorschlag: § 14 NW_28785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https://recht.nulegal.eu/gesetze/NW_28785/14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