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NW_28757 (Nordrhein-Westfalen)</w:t>
      </w:r>
    </w:p>
    <w:p>
      <w:r>
        <w:rPr>
          <w:color w:val="555555"/>
          <w:sz w:val="18"/>
        </w:rPr>
        <w:t xml:space="preserve">Landesfamilienkassenverordnung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 der Verordnung über die Einrichtung von Landesfamilienkassen vom 13. Juli 2004 (GV. NRW. S. 424) wird verordnet:</w:t>
      </w:r>
    </w:p>
    <w:p>
      <w:r>
        <w:rPr>
          <w:color w:val="555555"/>
          <w:sz w:val="17"/>
        </w:rPr>
        <w:t xml:space="preserve">Zitiervorschlag: Volltext NW_28757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https://recht.nulegal.eu/gesetze/NW_28757/volltext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