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NW_28757 (Nordrhein-Westfalen)</w:t>
      </w:r>
    </w:p>
    <w:p>
      <w:r>
        <w:rPr>
          <w:color w:val="555555"/>
          <w:sz w:val="18"/>
        </w:rPr>
        <w:t xml:space="preserve">Landesfamilienkassenverordnung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Übertragung erfolgt durch schriftliche Vereinbarung zwischen der übertragenden Familienkasse und der jeweiligen Landesfamilienkasse.</w:t>
      </w:r>
    </w:p>
    <w:p>
      <w:r>
        <w:t xml:space="preserve">(2) Die jeweilige Landesfamilienkasse tritt in die Rechtsstellung der übertragenden Familienkasse ein.</w:t>
      </w:r>
    </w:p>
    <w:p>
      <w:r>
        <w:t xml:space="preserve">(3) Die übertragende Familienkasse zeigt die Übertragung der Aufgaben den betroffenen Kindergeldberechtigten sowie dem Bundeszentralamt für Steuern an.</w:t>
      </w:r>
    </w:p>
    <w:p>
      <w:r>
        <w:rPr>
          <w:color w:val="555555"/>
          <w:sz w:val="17"/>
        </w:rPr>
        <w:t xml:space="preserve">Zitiervorschlag: § 2 NW_28757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https://recht.nulegal.eu/gesetze/NW_28757/2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