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NW_28755 (Nordrhein-Westfalen) — Gebührenbemessung</w:t>
      </w:r>
    </w:p>
    <w:p>
      <w:r>
        <w:rPr>
          <w:color w:val="555555"/>
          <w:sz w:val="18"/>
        </w:rPr>
        <w:t xml:space="preserve">- KJM-Kostensatzung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Festsetzung der Gebühr im Einzelfall sind zu berücksichtigen</w:t>
      </w:r>
    </w:p>
    <w:p>
      <w:r>
        <w:t xml:space="preserve">1. der mit der Amtshandlung verbundene Verwaltungsaufwand, soweit Aufwendungen nicht als Auslagen gesondert berechnet werden, und</w:t>
      </w:r>
    </w:p>
    <w:p>
      <w:r>
        <w:t xml:space="preserve">2. die Bedeutung, der wirtschaftliche Wert oder der sonstige Nutzen der Amtshandlung für den Kostenschuldner.</w:t>
      </w:r>
    </w:p>
    <w:p>
      <w:r>
        <w:rPr>
          <w:color w:val="555555"/>
          <w:sz w:val="17"/>
        </w:rPr>
        <w:t xml:space="preserve">Zitiervorschlag: § 3 NW_28755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