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NW_28755 (Nordrhein-Westfalen) — Grundsatz</w:t>
      </w:r>
    </w:p>
    <w:p>
      <w:r>
        <w:rPr>
          <w:color w:val="555555"/>
          <w:sz w:val="18"/>
        </w:rPr>
        <w:t xml:space="preserve">- KJM-Kostensatzung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eine Amtshandlung aufgrund des Jugendmedienschutz-Staatsvertrags werden Kosten (Gebühren und Auslagen) nach den Bestimmungen dieser Satzung und dem anliegenden Gebührentarif, der Teil dieser Satzung ist, erhoben.</w:t>
      </w:r>
    </w:p>
    <w:p>
      <w:r>
        <w:t xml:space="preserve">(2) Soweit in dieser Satzung keine Regelungen enthalten sind, findet für die Erhebung von Kosten die Satzung der Landesanstalt für Medien Nordrhein-Westfalen (LfM) über die Erhebung von Verwaltungsgebühren und Auslagen (Gebühren- und Auslagensatzung) vom 12. Dezember 2003 (GV. NRW. 2004 S. 2) Anwendung.</w:t>
      </w:r>
    </w:p>
    <w:p>
      <w:r>
        <w:rPr>
          <w:color w:val="555555"/>
          <w:sz w:val="17"/>
        </w:rPr>
        <w:t xml:space="preserve">Zitiervorschlag: § 1 NW_28755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https://recht.nulegal.eu/gesetze/NW_28755/1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