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NW_28737 (Nordrhein-Westfalen)</w:t>
      </w:r>
    </w:p>
    <w:p>
      <w:r>
        <w:rPr>
          <w:color w:val="555555"/>
          <w:sz w:val="18"/>
        </w:rPr>
        <w:t xml:space="preserve">Nutzungssatzung Fernsehen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Juni 2004</w:t>
      </w:r>
    </w:p>
    <w:p>
      <w:r>
        <w:t xml:space="preserve">Aufgrund des § 78 Abs. 1 Satz 3, Abs. 3 Satz 1, Abs. 5 Satz 2 des Landesmediengesetzes Nordrhein-Westfalen (LMG NRW) vom 2. Juli 2002 (GV. NRW. S. 334), zuletzt geändert durch Gesetz vom 17. Juni 2003 (GV. NRW. S. 320), erlässt die Landesanstalt für Medien Nordrhein-Westfalen (LfM) folgende Satzung:</w:t>
      </w:r>
    </w:p>
    <w:p>
      <w:r>
        <w:rPr>
          <w:color w:val="555555"/>
          <w:sz w:val="17"/>
        </w:rPr>
        <w:t xml:space="preserve">Zitiervorschlag: Volltext NW_28737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https://recht.nulegal.eu/gesetze/NW_28737/volltext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NW_28737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