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NW_28737 (Nordrhein-Westfalen) — Entscheidungsrecht der LfM</w:t>
      </w:r>
    </w:p>
    <w:p>
      <w:r>
        <w:rPr>
          <w:color w:val="555555"/>
          <w:sz w:val="18"/>
        </w:rPr>
        <w:t xml:space="preserve">Nutzungssatzung Fernsehen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Meinungsverschiedenheiten zwischen Arbeitsgemeinschaften und Nutzerinnen und Nutzern sowie in Zweifelsfällen entscheidet die LfM.</w:t>
      </w:r>
    </w:p>
    <w:p>
      <w:r>
        <w:t xml:space="preserve">(2) Die Beteiligten sind jeweils verpflichtet, der LfM unverzüglich auf deren Verlangen den Beitrag auf Kassette oder DAT zu übersenden.</w:t>
      </w:r>
    </w:p>
    <w:p>
      <w:r>
        <w:t xml:space="preserve">(3) Verstößt eine Nutzerin oder ein Nutzer gegen ihre oder seine Pflichten nach dem Landesmediengesetz oder nach dieser Satzung, gilt § 118 Abs. 1 LMG NRW entsprechend. Nach zweimaligem Pflichtverstoß kann die LfM anordnen, das Beiträge dieser Nutzerin oder dieses Nutzers bis zu sechs Monaten nicht verbreitet werden dürfen. Maßnahmen nach Satz 2 können auch wiederholt angeordnet werden.</w:t>
      </w:r>
    </w:p>
    <w:p>
      <w:r>
        <w:rPr>
          <w:color w:val="555555"/>
          <w:sz w:val="17"/>
        </w:rPr>
        <w:t xml:space="preserve">Zitiervorschlag: § 9 NW_28737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