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NW_28737 (Nordrhein-Westfalen) — Zugangsberechtigung</w:t>
      </w:r>
    </w:p>
    <w:p>
      <w:r>
        <w:rPr>
          <w:color w:val="555555"/>
          <w:sz w:val="18"/>
        </w:rPr>
        <w:t xml:space="preserve">Nutzungssatzung Fernsehen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Zugangsberechtigt sind Nutzerinnen und Nutzer, die ihre Hauptwohnung oder ihren Sitz im Verbreitungsgebiet des Programms für den Offenen Kanal haben.</w:t>
      </w:r>
    </w:p>
    <w:p>
      <w:r>
        <w:t xml:space="preserve">(2) Gruppe im Sinne des § 75 LMG NRW und dieser Satzung ist jeder Zusammenschluss von mindestens zwei Personen zu einem gemeinsamen Zweck.</w:t>
      </w:r>
    </w:p>
    <w:p>
      <w:r>
        <w:rPr>
          <w:color w:val="555555"/>
          <w:sz w:val="17"/>
        </w:rPr>
        <w:t xml:space="preserve">Zitiervorschlag: § 2 NW_28737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https://recht.nulegal.eu/gesetze/NW_28737/2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