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NW_28737 (Nordrhein-Westfalen) — Schlussbestimmungen</w:t>
      </w:r>
    </w:p>
    <w:p>
      <w:r>
        <w:rPr>
          <w:color w:val="555555"/>
          <w:sz w:val="18"/>
        </w:rPr>
        <w:t xml:space="preserve">Nutzungssatzung Fernsehen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Einzelheiten kann die LfM in weiteren Richtlinien regeln.</w:t>
      </w:r>
    </w:p>
    <w:p>
      <w:r>
        <w:t xml:space="preserve">Diese Satzung tritt am Tage nach der Bekanntmachung im Gesetz- und Verordndungsblatt Nordrhein-Westfalen in Kraft.</w:t>
      </w:r>
    </w:p>
    <w:p>
      <w:r>
        <w:t xml:space="preserve">Düsseldorf, den 18. Juni 2004</w:t>
      </w:r>
    </w:p>
    <w:p>
      <w:r>
        <w:t xml:space="preserve">Der Direktor</w:t>
      </w:r>
    </w:p>
    <w:p>
      <w:r>
        <w:t xml:space="preserve">der Landesanstalt für Medien</w:t>
      </w:r>
    </w:p>
    <w:p>
      <w:r>
        <w:t xml:space="preserve">Nordrhein-Westfalen (LfM)</w:t>
      </w:r>
    </w:p>
    <w:p>
      <w:r>
        <w:t xml:space="preserve">Dr. Norbert S c h n e i d e r</w:t>
      </w:r>
    </w:p>
    <w:p>
      <w:r>
        <w:rPr>
          <w:color w:val="555555"/>
          <w:sz w:val="17"/>
        </w:rPr>
        <w:t xml:space="preserve">Zitiervorschlag: § 10 NW_28737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https://recht.nulegal.eu/gesetze/NW_28737/10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NW_28737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