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NW_28730 (Nordrhein-Westfalen)</w:t>
      </w:r>
    </w:p>
    <w:p>
      <w:r>
        <w:rPr>
          <w:color w:val="555555"/>
          <w:sz w:val="18"/>
        </w:rPr>
        <w:t xml:space="preserve">Ausgleichszahlungsverordnung Vorgriffsstunde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Juni 2004</w:t>
      </w:r>
    </w:p>
    <w:p>
      <w:r>
        <w:t xml:space="preserve">Aufgrund des § 48 Abs. 3 des Bundesbesoldungsgesetzes (BBesG) in der Fassung der Bekanntmachung vom 6. August 2002 (BGBl. I S. 3020) verordnet die Landesregierung:</w:t>
      </w:r>
    </w:p>
    <w:p>
      <w:r>
        <w:rPr>
          <w:color w:val="555555"/>
          <w:sz w:val="17"/>
        </w:rPr>
        <w:t xml:space="preserve">Zitiervorschlag: Volltext NW_28730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https://recht.nulegal.eu/gesetze/NW_28730/volltext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