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NW_28730 (Nordrhein-Westfalen) — In-Kraft-Treten, Überprüfung der Auswirkungen der Verordnung</w:t>
      </w:r>
    </w:p>
    <w:p>
      <w:r>
        <w:rPr>
          <w:color w:val="555555"/>
          <w:sz w:val="18"/>
        </w:rPr>
        <w:t xml:space="preserve">Ausgleichszahlungsverordnung Vorgriffsstunde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Das Ministerium für Schule, Jugend und Kinder überprüft die Auswirkungen dieser Verordnung und unterrichtet das Kabinett bis spätestens zum Ablauf des 31. Dezember 2010 über das Ergebnis der Überprüfung.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t xml:space="preserve">Der Finanzminister</w:t>
      </w:r>
    </w:p>
    <w:p>
      <w:r>
        <w:t xml:space="preserve">Die Ministerin</w:t>
      </w:r>
    </w:p>
    <w:p>
      <w:r>
        <w:t xml:space="preserve">für Schule, Jugend und Kinder</w:t>
      </w:r>
    </w:p>
    <w:p>
      <w:r>
        <w:rPr>
          <w:color w:val="555555"/>
          <w:sz w:val="17"/>
        </w:rPr>
        <w:t xml:space="preserve">Zitiervorschlag: § 4 NW_28730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https://recht.nulegal.eu/gesetze/NW_28730/4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