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NW_28730 (Nordrhein-Westfalen) — Anspruchsvoraussetzungen</w:t>
      </w:r>
    </w:p>
    <w:p>
      <w:r>
        <w:rPr>
          <w:color w:val="555555"/>
          <w:sz w:val="18"/>
        </w:rPr>
        <w:t xml:space="preserve">Ausgleichszahlungsverordnung Vorgriffsstunde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Ausgleichszahlung wird in folgenden Fällen gewährt:</w:t>
      </w:r>
    </w:p>
    <w:p>
      <w:r>
        <w:t xml:space="preserve">1. bei Beendigung des Beamtenverhältnisses,</w:t>
      </w:r>
    </w:p>
    <w:p>
      <w:r>
        <w:t xml:space="preserve">2. beim Wechsel des Dienstherrn,</w:t>
      </w:r>
    </w:p>
    <w:p>
      <w:r>
        <w:t xml:space="preserve">3. bei sonstiger Beendigung der ungleichmäßigen Verteilung der zusätzlichen Pflichtstunden, wenn darauf die Unmöglichkeit des Pflichtstundenausgleichs beruht.</w:t>
      </w:r>
    </w:p>
    <w:p>
      <w:r>
        <w:t xml:space="preserve">(2) Die Ansprüche der Beamtin oder des Beamten nach Absatz 1 entfallen bei</w:t>
      </w:r>
    </w:p>
    <w:p>
      <w:r>
        <w:t xml:space="preserve">1. Verlust der Beamtenrechte nach § 24 Gesetz zur Regelung des Statusrechts der Beamtinnen und Beamten in den Ländern (Beamtenstatusgesetz - BeamtStG),</w:t>
      </w:r>
    </w:p>
    <w:p>
      <w:r>
        <w:t xml:space="preserve">2. Entfernung aus dem Dienst nach den Vorschriften des Disziplinarrechts,</w:t>
      </w:r>
    </w:p>
    <w:p>
      <w:r>
        <w:t xml:space="preserve">3. Entlassung nach § 23 Abs. 3 Nr. 1 BeamtStG.</w:t>
      </w:r>
    </w:p>
    <w:p>
      <w:r>
        <w:rPr>
          <w:color w:val="555555"/>
          <w:sz w:val="17"/>
        </w:rPr>
        <w:t xml:space="preserve">Zitiervorschlag: § 2 NW_28730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https://recht.nulegal.eu/gesetze/NW_28730/2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