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NW_28728 (Nordrhein-Westfalen) — Bürgerentscheid an Stelle des Kreistages- § 23 Kreisordnung -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§§ 1 bis 6 und 9 dieser Verordnung gelten für die Kreise entsprechend.</w:t>
      </w:r>
    </w:p>
    <w:p>
      <w:r>
        <w:t xml:space="preserve">(2) Die kreisangehörigen Gemeinden haben den Kreis bei der Vorbereitung und Durchführung eines Bürgerentscheids an Stelle des Kreistages im notwendigen Maße gegen Kostenerstattung zu unterstützen.</w:t>
      </w:r>
    </w:p>
    <w:p>
      <w:r>
        <w:rPr>
          <w:color w:val="555555"/>
          <w:sz w:val="17"/>
        </w:rPr>
        <w:t xml:space="preserve">Zitiervorschlag: § 7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