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NW_28728 (Nordrhein-Westfalen) — Inkrafttreten</w:t>
      </w:r>
    </w:p>
    <w:p>
      <w:r>
        <w:rPr>
          <w:color w:val="555555"/>
          <w:sz w:val="18"/>
        </w:rPr>
        <w:t xml:space="preserve">BürgerentscheidDVO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Verordnung tritt am 1. Oktober 2004 in Kraft.</w:t>
      </w:r>
    </w:p>
    <w:p>
      <w:r>
        <w:t xml:space="preserve">Der Innenminister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10 NW_28728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https://recht.nulegal.eu/gesetze/NW_28728/10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