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NW_28421 (Nordrhein-Westfalen)</w:t>
      </w:r>
    </w:p>
    <w:p>
      <w:r>
        <w:rPr>
          <w:color w:val="555555"/>
          <w:sz w:val="18"/>
        </w:rPr>
        <w:t xml:space="preserve">Fn 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Juni 2004</w:t>
      </w:r>
    </w:p>
    <w:p>
      <w:r>
        <w:t xml:space="preserve">Auf Grund des § 8 Abs. 2 des Behindertengleichstellungsgesetzes Nordrhein-Westfalen (BGG NRW) vom 16. Dezember 2003 (GV. NRW. S. 766) wird verordnet:</w:t>
      </w:r>
    </w:p>
    <w:p>
      <w:r>
        <w:rPr>
          <w:color w:val="555555"/>
          <w:sz w:val="17"/>
        </w:rPr>
        <w:t xml:space="preserve">Zitiervorschlag: Volltext NW_28421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