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NW_28421 (Nordrhein-Westfalen) — Kommunikationsunterstützungen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Kommunikationsunterstützung ist als geeignete Kommunikationsform anzusehen, wenn sie im konkreten Fall die nach Maßgabe des § 2 Abs. 1 erforderliche Verständigung sicherstellt.</w:t>
      </w:r>
    </w:p>
    <w:p>
      <w:r>
        <w:t xml:space="preserve">(2) Zur Kommunikationsunterstützung kommen Personen zur Kommunikationsunterstützung, Kommunikationsmethoden und Kommunikationsmittel in Betracht:</w:t>
      </w:r>
    </w:p>
    <w:p>
      <w:r>
        <w:t xml:space="preserve">1. Personen zur Kommunikationsunterstützung sind insbesondere</w:t>
      </w:r>
    </w:p>
    <w:p>
      <w:r>
        <w:t xml:space="preserve">a) gebärdensprachdolmetschende Personen,</w:t>
      </w:r>
    </w:p>
    <w:p>
      <w:r>
        <w:t xml:space="preserve">b) schriftdolmetschende Personen,</w:t>
      </w:r>
    </w:p>
    <w:p>
      <w:r>
        <w:t xml:space="preserve">c) oraldolmetschende Personen,</w:t>
      </w:r>
    </w:p>
    <w:p>
      <w:r>
        <w:t xml:space="preserve">d) kommunikationsassistierende Personen,</w:t>
      </w:r>
    </w:p>
    <w:p>
      <w:r>
        <w:t xml:space="preserve">e) lautsprachbegleitend gebärdende Personen oder</w:t>
      </w:r>
    </w:p>
    <w:p>
      <w:r>
        <w:t xml:space="preserve">f) in taktil wahrnehmbare Sprache oder Gebärden übersetzende Personen,</w:t>
      </w:r>
    </w:p>
    <w:p>
      <w:r>
        <w:t xml:space="preserve">g) in gestützter Kommunikation übersetzende Personen oder</w:t>
      </w:r>
    </w:p>
    <w:p>
      <w:r>
        <w:t xml:space="preserve">h) sonstige Personen des Vertrauens</w:t>
      </w:r>
    </w:p>
    <w:p>
      <w:r>
        <w:t xml:space="preserve">2. Kommunikationsmethoden sind insbesondere</w:t>
      </w:r>
    </w:p>
    <w:p>
      <w:r>
        <w:t xml:space="preserve">a) Lormen und taktil wahrnehmbare Gebärden,</w:t>
      </w:r>
    </w:p>
    <w:p>
      <w:r>
        <w:t xml:space="preserve">b) gestützte Kommunikation für Menschen mit autistischer Störung,</w:t>
      </w:r>
    </w:p>
    <w:p>
      <w:r>
        <w:t xml:space="preserve">c) lautsprachbegleitende Gebärden,</w:t>
      </w:r>
    </w:p>
    <w:p>
      <w:r>
        <w:t xml:space="preserve">d) die Deutsche Gebärdensprache oder</w:t>
      </w:r>
    </w:p>
    <w:p>
      <w:r>
        <w:t xml:space="preserve">e) die Leichte Sprache</w:t>
      </w:r>
    </w:p>
    <w:p>
      <w:r>
        <w:t xml:space="preserve">3. Kommunikationsmittel sind insbesondere</w:t>
      </w:r>
    </w:p>
    <w:p>
      <w:r>
        <w:t xml:space="preserve">a) akustisch-technische Hilfen oder</w:t>
      </w:r>
    </w:p>
    <w:p>
      <w:r>
        <w:t xml:space="preserve">b) grafische Symbol-Systeme.</w:t>
      </w:r>
    </w:p>
    <w:p>
      <w:r>
        <w:rPr>
          <w:color w:val="555555"/>
          <w:sz w:val="17"/>
        </w:rPr>
        <w:t xml:space="preserve">Zitiervorschlag: § 3 NW_28421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