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NW_28410 (Nordrhein-Westfalen) — Eignungsfeststellung</w:t>
      </w:r>
    </w:p>
    <w:p>
      <w:r>
        <w:rPr>
          <w:color w:val="555555"/>
          <w:sz w:val="18"/>
        </w:rPr>
        <w:t xml:space="preserve">VAwS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Eignungsfeststellung nach § 63 Absatz 1 Satz 1 des Wasserhaushaltsgesetzes wird auf Antrag für eine einzelne Anlage erteilt, die nicht einfach oder herkömmlich ist oder für die kein Nachweis im Sinne des § 63 Absatz 3 des Wasserhaushaltsgesetzes vorliegt.</w:t>
      </w:r>
    </w:p>
    <w:p>
      <w:r>
        <w:t xml:space="preserve">(2) Die Eignungsfeststellung ist durch den Betreiber bei der zuständigen Behörde unter Beifügung der für die Beurteilung der Anlage erforderlichen Unterlagen zu beantragen.</w:t>
      </w:r>
    </w:p>
    <w:p>
      <w:r>
        <w:rPr>
          <w:color w:val="555555"/>
          <w:sz w:val="17"/>
        </w:rPr>
        <w:t xml:space="preserve">Zitiervorschlag: § 8 NW_28410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https://recht.nulegal.eu/gesetze/NW_28410/8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