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NW_28410 (Nordrhein-Westfalen) — Ordnungswidrigkeiten</w:t>
      </w:r>
    </w:p>
    <w:p>
      <w:r>
        <w:rPr>
          <w:color w:val="555555"/>
          <w:sz w:val="18"/>
        </w:rPr>
        <w:t xml:space="preserve">VAwS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Ordnungswidrig nach § 127 Absatz 2 Nummer 1 des Landeswassergesetzes handelt, wer vorsätzlich oder fahrlässig</w:t>
      </w:r>
    </w:p>
    <w:p>
      <w:r>
        <w:t xml:space="preserve">1. entgegen § 3 Abs. 5 bei Schadensfällen und Betriebsstörungen eine Anlage nicht unverzüglich außer Betrieb nimmt und entleert,</w:t>
      </w:r>
    </w:p>
    <w:p>
      <w:r>
        <w:t xml:space="preserve">2. eine vollziehbare Auflage nicht, nicht richtig, nicht vollständig oder nicht rechtzeitig erfüllt, die in einer Eignungsfeststellung nach § 8 oder Bauartzulassung nach § 63 des Wasserhaushaltsgesetzes festgesetzt ist,</w:t>
      </w:r>
    </w:p>
    <w:p>
      <w:r>
        <w:t xml:space="preserve">3. entgegen § 3 Abs. 4 keine Anlagenbeschreibung sowie die zugehörige Betriebsanweisung erstellt,</w:t>
      </w:r>
    </w:p>
    <w:p>
      <w:r>
        <w:t xml:space="preserve">4. in Schutzgebieten oder Überschwemmungsgebieten eine Anlage einbaut, aufstellt oder verwendet, die nicht § 5 Abs. 1 bis 4 entspricht,</w:t>
      </w:r>
    </w:p>
    <w:p>
      <w:r>
        <w:t xml:space="preserve">5. entgegen § 3 Abs. 11 Behälter ohne selbsttätig schließende Abfüllsicherung befüllt oder befüllen lässt,</w:t>
      </w:r>
    </w:p>
    <w:p>
      <w:r>
        <w:t xml:space="preserve">6. Prüfungen nach § 12 durchführt, ohne von einer nach § 11 anerkannten Organisation für die Prüfung bestellt zu sein,</w:t>
      </w:r>
    </w:p>
    <w:p>
      <w:r>
        <w:t xml:space="preserve">7. als Betreiber entgegen § 12 Abs. 1 oder 2 Anlagen nicht oder nicht fristgemäß überprüfen lässt.</w:t>
      </w:r>
    </w:p>
    <w:p>
      <w:r>
        <w:rPr>
          <w:color w:val="555555"/>
          <w:sz w:val="17"/>
        </w:rPr>
        <w:t xml:space="preserve">Zitiervorschlag: § 16 NW_28410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https://recht.nulegal.eu/gesetze/NW_28410/16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