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NW_28407 (Nordrhein-Westfalen)</w:t>
      </w:r>
    </w:p>
    <w:p>
      <w:r>
        <w:rPr>
          <w:color w:val="555555"/>
          <w:sz w:val="18"/>
        </w:rPr>
        <w:t xml:space="preserve">Verordnung zur Durchführung des Landbeschaffungsgesetzes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am Tage nach der Verkündung in Kraft.</w:t>
      </w:r>
    </w:p>
    <w:p>
      <w:r>
        <w:t xml:space="preserve">(2)</w:t>
      </w:r>
    </w:p>
    <w:p>
      <w:r>
        <w:t xml:space="preserve">Hinweis</w:t>
      </w:r>
    </w:p>
    <w:p>
      <w:r>
        <w:t xml:space="preserve">(Artikel 107 des Ersten Gesetzes zur Befristung des Landesrechts Nordrhein-Westfalen v. 18. Mai 2004 (GV. NRW. S. 248))</w:t>
      </w:r>
    </w:p>
    <w:p>
      <w:r>
        <w:t xml:space="preserve">Wiederherstellung des Verordnungsranges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NW_28407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https://recht.nulegal.eu/gesetze/NW_28407/3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