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NW_28390 (Nordrhein-Westfalen) — Gleichstellung der staatlichen Anerkennung</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einem anderen Bundesland erteilte staatliche Anerkennung als „Familienpflegerin“ oder „Familienpfleger“ gilt auch in Nordrhein-Westfalen.</w:t>
      </w:r>
    </w:p>
    <w:p>
      <w:r>
        <w:t xml:space="preserve">(2) Eine außerhalb des Geltungsbereichs der Bundesrepublik Deutschland erworbene Ausbildung in der Familienpflege wird anerkannt, wenn die Gleichwertigkeit des Ausbildungsstandes oder des Kenntnisstandes nachgewiesen wurde. Das Nähere regelt das Berufsqualifikationsfeststellungsgesetz NRW vom 28. Mai 2013 (GV. NRW. S. 272), das durch Artikel 1 des Gesetzes vom 26. April 2016 (GV. NRW. S. 230) geändert worden ist. Die zuständige Behörde bestimmt sich nach § 6 Absatz 4 der Zuständigkeitsverordnung Heilberufe vom 20. Mai 2008 (GV. NRW. S. 458), die zuletzt durch Verordnung vom 5. Juli 2016 (GV. NRW. S. 548) geändert worden ist.</w:t>
      </w:r>
    </w:p>
    <w:p>
      <w:r>
        <w:t xml:space="preserve">(3) Personen, die eine Gleichstellung ihrer Qualifikation mit der staatlichen Anerkennung beantragen, können zum Nachweis, dass die Voraussetzung der Zuverlässigkeit nach § 3 Abs. 1 Nr. 1 vorliegt, eine von der zuständigen Behörde des Heimat- oder Herkunftsstaates ausgestellte entsprechende Bescheinigung oder einen von einer solchen Behörde ausgestellten Strafregisterauszug oder, wenn ein solcher nicht beigebracht werden kann, einen gleichwertigen Nachweis vorlegen. Hat die Antrag stellende Person den Beruf im Heimat- oder Herkunftsstaat bereits ausgeübt, so kann die Bezirksregierung bei der zuständigen Behörde des Heimat- oder Herkunftsstaates Auskünfte über etwa gegen die Antrag stellende Person verhängte Strafen oder sonstige berufs- oder strafrechtliche Maßnahmen wegen schwerwiegenden standeswidrigen Verhaltens oder strafbarer Handlungen, die die Ausübung des Berufes im Heimat- oder Herkunftsstaat betreffen, einholen. Hat die für die Erteilung der Erlaubnis zuständige Behörde in den Fällen des Satzes 1 oder 2 von Tatbeständen Kenntnis, die außerhalb des Geltungsbereichs des Gesetzes eingetreten sind und im Hinblick auf die persönliche Zuverlässigkeit von Bedeutung sein können, so hat sie die zuständige Stelle des Heimat- oder Herkunftsstaates zu unterrichten und sie zu bitten, diese Tatbestände zu überprüfen und ihr das Ergebnis und die Folgerungen, die sie hinsichtlich der von ihr ausgestellten Bescheinigungen und Nachweise daraus zieht, mitzuteilen. Die in den Sätzen 1 bis 3 genannten Bescheinigungen und Mitteilungen sind vertraulich zu behandeln. Sie dürfen der Beurteilung nur zugrunde gelegt werden, wenn deren Ausstellung bei der Vorlage nicht mehr als drei Monate zurück liegt.</w:t>
      </w:r>
    </w:p>
    <w:p>
      <w:r>
        <w:t xml:space="preserve">(4) Personen, die eine Gleichstellung ihrer Qualifikation mit der staatlichen Anerkennung beantragen, können zum Nachweis, dass die Voraussetzung der Gesundheit nach § 3 Abs. 3 Nr. 7 vorliegt, eine entsprechende Bescheinigung der zuständigen Behörde ihres Heimat- oder Herkunftsstaates vorlegen.</w:t>
      </w:r>
    </w:p>
    <w:p>
      <w:r>
        <w:t xml:space="preserve">(5) Personen, die eine Gleichstellung ihrer Qualifikation mit der staatlichen Anerkennung beantragen, dürfen ihre im Heimat- oder Herkunftsstaat bestehende rechtmäßige Ausbildungsbezeichnung und, soweit dies nach dem Recht des Heimat- oder Herkunftsstaates zulässig ist, ihre Abkürzung in der Sprache dieses Staates führen. Daneben sind Name und Ort der Ausbildungsstätte, die die Ausbildungsbezeichnung verliehen hat, aufzuführen.</w:t>
      </w:r>
    </w:p>
    <w:p>
      <w:r>
        <w:rPr>
          <w:color w:val="555555"/>
          <w:sz w:val="17"/>
        </w:rPr>
        <w:t xml:space="preserve">Zitiervorschlag: § 23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