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NW_28387 (Nordrhein-Westfalen) — Inkrafttreten</w:t>
      </w:r>
    </w:p>
    <w:p>
      <w:r>
        <w:rPr>
          <w:color w:val="555555"/>
          <w:sz w:val="18"/>
        </w:rPr>
        <w:t xml:space="preserve">RettungstatenG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nach seiner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Finanzminister</w:t>
      </w:r>
    </w:p>
    <w:p>
      <w:r>
        <w:t xml:space="preserve">Der Innenminister</w:t>
      </w:r>
    </w:p>
    <w:p>
      <w:r>
        <w:t xml:space="preserve">Der Minister</w:t>
      </w:r>
    </w:p>
    <w:p>
      <w:r>
        <w:t xml:space="preserve">für Städtebau und Wohnen,</w:t>
      </w:r>
    </w:p>
    <w:p>
      <w:r>
        <w:t xml:space="preserve">Kultur und Sport</w:t>
      </w:r>
    </w:p>
    <w:p>
      <w:r>
        <w:rPr>
          <w:color w:val="555555"/>
          <w:sz w:val="17"/>
        </w:rPr>
        <w:t xml:space="preserve">Zitiervorschlag: § 6 NW_28387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https://recht.nulegal.eu/gesetze/NW_28387/6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