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NW_28387 (Nordrhein-Westfalen) — Öffentliche Belobigung</w:t>
      </w:r>
    </w:p>
    <w:p>
      <w:r>
        <w:rPr>
          <w:color w:val="555555"/>
          <w:sz w:val="18"/>
        </w:rPr>
        <w:t xml:space="preserve">RettungstatenG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öffentliche Belobigung wird ausgesprochen, wenn die Rettungstat ohne Einsatz des eigenen Lebens ausgeführt worden ist oder trotz Einsatzes des eigenen Lebens nicht zur Lebensrettung geführt hat.</w:t>
      </w:r>
    </w:p>
    <w:p>
      <w:r>
        <w:t xml:space="preserve">(2) § 2 Abs. 2 bis 4 gilt entsprechend.</w:t>
      </w:r>
    </w:p>
    <w:p>
      <w:r>
        <w:rPr>
          <w:color w:val="555555"/>
          <w:sz w:val="17"/>
        </w:rPr>
        <w:t xml:space="preserve">Zitiervorschlag: § 3 NW_28387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https://recht.nulegal.eu/gesetze/NW_28387/3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