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NW_28387 (Nordrhein-Westfalen) — Rettungsmedaille</w:t>
      </w:r>
    </w:p>
    <w:p>
      <w:r>
        <w:rPr>
          <w:color w:val="555555"/>
          <w:sz w:val="18"/>
        </w:rPr>
        <w:t xml:space="preserve">RettungstatenG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Rettungsmedaille wird an Personen verliehen, die unter Einsatz des eigenen Lebens die Rettungstat unternommen haben.</w:t>
      </w:r>
    </w:p>
    <w:p>
      <w:r>
        <w:t xml:space="preserve">(2) Hat eine Person im ursächlichen Zusammenhang mit der Rettungstat ihr Leben verloren, kann ihr nach ihrem Tod die Rettungsmedaille verliehen werden.</w:t>
      </w:r>
    </w:p>
    <w:p>
      <w:r>
        <w:t xml:space="preserve">(3) Die Rettungsmedaille kann wiederholt an dieselbe Person verliehen werden.</w:t>
      </w:r>
    </w:p>
    <w:p>
      <w:r>
        <w:t xml:space="preserve">(4) Ein Anspruch auf die Verleihung der Rettungsmedaille besteht nicht.</w:t>
      </w:r>
    </w:p>
    <w:p>
      <w:r>
        <w:rPr>
          <w:color w:val="555555"/>
          <w:sz w:val="17"/>
        </w:rPr>
        <w:t xml:space="preserve">Zitiervorschlag: § 2 NW_28387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https://recht.nulegal.eu/gesetze/NW_28387/2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