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NW_28387 (Nordrhein-Westfalen) — Voraussetzungen der staatlichen Anerkennung einer Rettungstat</w:t>
      </w:r>
    </w:p>
    <w:p>
      <w:r>
        <w:rPr>
          <w:color w:val="555555"/>
          <w:sz w:val="18"/>
        </w:rPr>
        <w:t xml:space="preserve">RettungstatenG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staatliche Anerkennung für die Rettung bzw. versuchte Rettung eines Menschen aus Lebensgefahr oder für die Abwendung einer gemeinen Gefahr (Rettungstat) verleiht der Ministerpräsident namens der Landesregierung die Rettungsmedaille des Landes Nordrhein-Westfalen oder spricht eine öffentliche Belobigung aus.</w:t>
      </w:r>
    </w:p>
    <w:p>
      <w:r>
        <w:t xml:space="preserve">(2) Personen, denen der Schutz des Lebens anderer anvertraut ist oder denen die Abwendung von Gefahren von der Allgemeinheit dienstlich oder beruflich obliegt, werden nur dann staatlich ausgezeichnet, wenn sie bei der Rettungstat das Maß der ihnen obliegenden Pflichten erheblich überschritten haben.</w:t>
      </w:r>
    </w:p>
    <w:p>
      <w:r>
        <w:rPr>
          <w:color w:val="555555"/>
          <w:sz w:val="17"/>
        </w:rPr>
        <w:t xml:space="preserve">Zitiervorschlag: § 1 NW_28387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