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NW_28385 (Nordrhein-Westfalen) — Beendigung der Mitgliedschaft</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Mitgliedschaft im Verband kann durch Kündigungserklärung einer Mitgliedskörperschaft beendet werden. Die Kündigung ist innerhalb der ersten achtzehn Monate einer Wahlperiode mit Wirkung zum Ende der darauf folgenden Wahlperiode möglich. Über die Kündigung beschließt für die Mitgliedskörperschaft deren Vertretung mit der Mehrheit von zwei Dritteln der gesetzlichen Zahl der stimmberechtigten Mitglieder. Die Kündigung wird mit Zugang der schriftlichen Erklärung der Hauptverwaltungsbeamtin oder des Hauptverwaltungsbeamten der Mitgliedskörperschaft gegenüber dem Verband wirksam.</w:t>
      </w:r>
    </w:p>
    <w:p>
      <w:r>
        <w:t xml:space="preserve">(2) Zur Finanz- und Vermögensauseinandersetzung bei Kündigung legt die Verbandsordnung die allgemeinen Regeln fest. Diese hat einen angemessenen Ausgleich zwischen den Interessen der verbleibenden Mitglieder und den Interessen des ausscheidenden Mitglieds zu gewährleisten.</w:t>
      </w:r>
    </w:p>
    <w:p>
      <w:r>
        <w:rPr>
          <w:color w:val="555555"/>
          <w:sz w:val="17"/>
        </w:rPr>
        <w:t xml:space="preserve">Zitiervorschlag: § 3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