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20c NW_28385 (Nordrhein-Westfalen) — Wirtschaftliche Betätigung und nichtwirtschaftliche Betätigung</w:t>
      </w:r>
    </w:p>
    <w:p>
      <w:r>
        <w:rPr>
          <w:color w:val="555555"/>
          <w:sz w:val="18"/>
        </w:rPr>
        <w:t xml:space="preserve">RVRG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Soweit nicht in diesem Gesetz oder auf Grund dieses Gesetzes eine andere Regelung getroffen ist, finden die Vorschriften der Gemeindeordnung für das Land Nordrhein-Westfalen über die wirtschaftliche Betätigung und die nichtwirtschaftliche Betätigung sowie die hierzu erlassenen Rechtsvorschriften in ihrer jeweils geltenden Fassung mit der Maßgabe entsprechende Anwendung, dass an die Stelle des Rates die Verbandsversammlung und an die Stelle der Bürgermeisterin oder des Bürgermeisters die Regionaldirektorin oder der Regionaldirektor tritt. Bei der entsprechenden Anwendung des § 113 der Gemeindeordnung für das Land Nordrhein-Westfalen findet § 50 Absatz 4 der Gemeindeordnung für das Land Nordrhein-Westfalen ebenfalls entsprechende Anwendung.</w:t>
      </w:r>
    </w:p>
    <w:p>
      <w:r>
        <w:rPr>
          <w:color w:val="555555"/>
          <w:sz w:val="17"/>
        </w:rPr>
        <w:t xml:space="preserve">Zitiervorschlag: § 20c NW_28385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https://recht.nulegal.eu/gesetze/NW_28385/20c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