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20b NW_28385 (Nordrhein-Westfalen) — Sonderumlage</w:t>
      </w:r>
    </w:p>
    <w:p>
      <w:r>
        <w:rPr>
          <w:color w:val="555555"/>
          <w:sz w:val="18"/>
        </w:rPr>
        <w:t xml:space="preserve">RVRG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Verband kann eine Sonderumlage erheben, sofern im Jahresabschluss eine Inanspruchnahme der allgemeinen Rücklage erfolgt ist. Eine Sonderumlage ist zu erheben, sofern eine Überschuldung nach § 75 Absatz 7 der Gemeindeordnung für das Land Nordrhein-Westfalen eingetreten ist. Die Sonderumlage ist nach der Inanspruchnahme der allgemeinen Rücklage und unter Beachtung des Rücksichtnahmegebots nach § 9 Satz 2 der Kreisordnung für das Land Nordrhein-Westfalen zu bestimmen. Sie kann in Teilbeträgen festgesetzt und erhoben werden. § 55 der Kreisordnung für das Land Nordrhein-Westfalen sowie § 19 Absatz 2 und 3 finden entsprechende Anwendung.</w:t>
      </w:r>
    </w:p>
    <w:p>
      <w:r>
        <w:rPr>
          <w:color w:val="555555"/>
          <w:sz w:val="17"/>
        </w:rPr>
        <w:t xml:space="preserve">Zitiervorschlag: § 20b NW_28385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https://recht.nulegal.eu/gesetze/NW_28385/20b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