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20a NW_28385 (Nordrhein-Westfalen) — Haushaltssicherungskonzept</w:t>
      </w:r>
    </w:p>
    <w:p>
      <w:r>
        <w:rPr>
          <w:color w:val="555555"/>
          <w:sz w:val="18"/>
        </w:rPr>
        <w:t xml:space="preserve">RVRG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hat zur Sicherung seiner dauerhaften Leistungsfähigkeit ein Haushaltssicherungskonzept aufzustellen und darin den nächstmöglichen Zeitpunkt zu bestimmen, bis zu dem der Haushaltsausgleich wieder hergestellt ist. § 76 der Gemeindeordnung gilt entsprechend.</w:t>
      </w:r>
    </w:p>
    <w:p>
      <w:r>
        <w:t xml:space="preserve">(2) Ist der Verband überschuldet, so kann das Haushaltssicherungskonzept nur genehmigt werden, wenn sowohl der Haushaltsausgleich als auch die Beseitigung der Überschuldung innerhalb der Frist des § 76 Absatz 2 Satz 3 der Gemeindeordnung dargestellt wird.</w:t>
      </w:r>
    </w:p>
    <w:p>
      <w:r>
        <w:rPr>
          <w:color w:val="555555"/>
          <w:sz w:val="17"/>
        </w:rPr>
        <w:t xml:space="preserve">Zitiervorschlag: § 20a NW_28385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https://recht.nulegal.eu/gesetze/NW_28385/20a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