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NW_28385 (Nordrhein-Westfalen) — Haushaltswirtschaft</w:t>
      </w:r>
    </w:p>
    <w:p>
      <w:r>
        <w:rPr>
          <w:color w:val="555555"/>
          <w:sz w:val="18"/>
        </w:rPr>
        <w:t xml:space="preserve">RVRG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die Haushaltswirtschaft finden die Vorschriften der Gemeindeordnung für das Land Nordrhein-Westfalen und die hierzu erlassenen Rechtsvorschriften in ihrer jeweils geltenden Fassung sowie § 55 Kreisordnung für das Land Nordrhein-Westfalen entsprechende Anwendung, soweit nicht in diesem Gesetz oder auf Grund dieses Gesetzes eine andere Regelung getroffen wurde.</w:t>
      </w:r>
    </w:p>
    <w:p>
      <w:r>
        <w:t xml:space="preserve">(2) § 75 Absatz 3 der Gemeindeordnung für das Land Nordrhein-Westfalen gilt entsprechend.</w:t>
      </w:r>
    </w:p>
    <w:p>
      <w:r>
        <w:rPr>
          <w:color w:val="555555"/>
          <w:sz w:val="17"/>
        </w:rPr>
        <w:t xml:space="preserve">Zitiervorschlag: § 20 NW_28385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https://recht.nulegal.eu/gesetze/NW_28385/20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