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NW_28385 (Nordrhein-Westfalen) — Einberufung in besonderen Ausnahmefällen und Durchführung von Sitzungen inhybrider Form</w:t>
      </w:r>
    </w:p>
    <w:p>
      <w:r>
        <w:rPr>
          <w:color w:val="555555"/>
          <w:sz w:val="18"/>
        </w:rPr>
        <w:t xml:space="preserve">RVRG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Einberufung der Verbandsversammlung, des Verbandsausschusses und der sonstigen Ausschüsse in besonderen Ausnahmefällen gilt § 47a der Gemeindeordnung für das Land Nordrhein-Westfalen. Für die Durchführung von Sitzungen der sonstigen Ausschüsse in hybrider Form gilt § 58a der Gemeindeordnung für das Land Nordrhein-Westfalen entsprechend.</w:t>
      </w:r>
    </w:p>
    <w:p>
      <w:r>
        <w:rPr>
          <w:color w:val="555555"/>
          <w:sz w:val="17"/>
        </w:rPr>
        <w:t xml:space="preserve">Zitiervorschlag: § 11a NW_28385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https://recht.nulegal.eu/gesetze/NW_28385/11a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