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NW_28384 (Nordrhein-Westfalen)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März 2004</w:t>
      </w:r>
    </w:p>
    <w:p>
      <w:r>
        <w:t xml:space="preserve">(Artikel 1 des Gesetzes zur Umstrukturierung der Landesbank Nordrhein-Westfalen zur Förderbank des Landes Nordrhein-Westfalen</w:t>
      </w:r>
    </w:p>
    <w:p>
      <w:r>
        <w:t xml:space="preserve">und zur Änderung anderer Gesetze vom 16. 3.2004 (GV. NRW. S. 126))</w:t>
      </w:r>
    </w:p>
    <w:p>
      <w:r>
        <w:rPr>
          <w:color w:val="555555"/>
          <w:sz w:val="17"/>
        </w:rPr>
        <w:t xml:space="preserve">Zitiervorschlag: Volltext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