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NW_28384 (Nordrhein-Westfalen) — Aufgaben des Beirates für Wohnraumförderung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Beirat für Wohnraumförderung berät die Gremien der NRW.BANK bei der Wohnraumförderung. Er hat dabei insbesondere über das Produktportfolio Wohnraumförderung und die Berichterstattung hierüber zu beraten.</w:t>
      </w:r>
    </w:p>
    <w:p>
      <w:r>
        <w:t xml:space="preserve">(2) Der Beirat für Wohnraumförderung kann vom Vorstand jederzeit Auskunft über das Produktportfolio Wohnraumförderung verlangen. In besonderen Fällen kann er im Rahmen seiner Aufgaben Sachverständige hinzuziehen.</w:t>
      </w:r>
    </w:p>
    <w:p>
      <w:r>
        <w:t xml:space="preserve">(3) Die Rechte des Verwaltungsrates gemäß § 9 werden durch die vorstehenden Regelungen nicht beschränkt.</w:t>
      </w:r>
    </w:p>
    <w:p>
      <w:r>
        <w:t xml:space="preserve">(4) Die Einberufung und die Beschlussfassung des Beirates für Wohnraumförderung werden in der Satzung der NRW.BANK geregelt.</w:t>
      </w:r>
    </w:p>
    <w:p>
      <w:r>
        <w:rPr>
          <w:color w:val="555555"/>
          <w:sz w:val="17"/>
        </w:rPr>
        <w:t xml:space="preserve">Zitiervorschlag: § 9c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https://recht.nulegal.eu/gesetze/NW_28384/9c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