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NW_28384 (Nordrhein-Westfalen) — Aufgaben der Gewährträgerversammlung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Gewährträgerversammlung beschließt über</w:t>
      </w:r>
    </w:p>
    <w:p>
      <w:r>
        <w:t xml:space="preserve">a) die Änderung der Satzung,</w:t>
      </w:r>
    </w:p>
    <w:p>
      <w:r>
        <w:t xml:space="preserve">b) alle Eigenmittelmaßnahmen nach dem KWG,</w:t>
      </w:r>
    </w:p>
    <w:p>
      <w:r>
        <w:t xml:space="preserve">c) die Feststellung des Jahresabschlusses, die Verwendung des Bilanzgewinns und die Deckung eines Bilanzverlustes,</w:t>
      </w:r>
    </w:p>
    <w:p>
      <w:r>
        <w:t xml:space="preserve">d) die Entlastung der Mitglieder des Verwaltungsrates und des Vorstandes,</w:t>
      </w:r>
    </w:p>
    <w:p>
      <w:r>
        <w:t xml:space="preserve">e) die Bestellung der Abschlussprüferin oder des Abschlussprüfers sowie der Prüferin und des Prüfers für die Prüfung der Meldepflichten und Verhaltensregeln nach den Vorschriften des Wertpapierhandelsgesetzes,</w:t>
      </w:r>
    </w:p>
    <w:p>
      <w:r>
        <w:t xml:space="preserve">f) die Bestellung von Prüferinnen und Prüfern in besonderen Fällen,</w:t>
      </w:r>
    </w:p>
    <w:p>
      <w:r>
        <w:t xml:space="preserve">g) Maßnahmen nach § 3 Abs. 4 Satz 2 und § 4 Abs. 4 Satz 1,</w:t>
      </w:r>
    </w:p>
    <w:p>
      <w:r>
        <w:t xml:space="preserve">h) die Festsetzung der Vergütung für die Mitglieder der Gewährträgerversammlung und für die Mitglieder des Verwaltungsrates und seiner Ausschüsse,</w:t>
      </w:r>
    </w:p>
    <w:p>
      <w:r>
        <w:t xml:space="preserve">i) die Grundsätze der Geschäfts-, Förder- und Risikopolitik,</w:t>
      </w:r>
    </w:p>
    <w:p>
      <w:r>
        <w:t xml:space="preserve">j) die Zustimmung zum Erwerb und zur Veräußerung von Beteiligungen,</w:t>
      </w:r>
    </w:p>
    <w:p>
      <w:r>
        <w:t xml:space="preserve">k) die Zustimmung zum Abschluss der Vereinbarung gemäß § 6 Absatz 4 Satz 3 WFNG zwischen dem für das Wohnungswesen zuständigen Ministerium und der NRW.BANK.</w:t>
      </w:r>
    </w:p>
    <w:p>
      <w:r>
        <w:t xml:space="preserve">Die Satzung kann regeln, dass die Zustimmung bei Maßnahmen nach Satz 1 Buchstabe j in Fällen von geringerer Bedeutung nicht erforderlich ist.</w:t>
      </w:r>
    </w:p>
    <w:p>
      <w:r>
        <w:t xml:space="preserve">(2) Die Gewährträgerversammlung gibt sich eine Geschäftsordnung.</w:t>
      </w:r>
    </w:p>
    <w:p>
      <w:r>
        <w:rPr>
          <w:color w:val="555555"/>
          <w:sz w:val="17"/>
        </w:rPr>
        <w:t xml:space="preserve">Zitiervorschlag: § 7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