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NW_28384 (Nordrhein-Westfalen) — Organe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NRW.BANK sind</w:t>
      </w:r>
    </w:p>
    <w:p>
      <w:r>
        <w:t xml:space="preserve">a) die Gewährträgerversammlung,</w:t>
      </w:r>
    </w:p>
    <w:p>
      <w:r>
        <w:t xml:space="preserve">b) der Verwaltungsrat,</w:t>
      </w:r>
    </w:p>
    <w:p>
      <w:r>
        <w:t xml:space="preserve">c) der Vorstand.</w:t>
      </w:r>
    </w:p>
    <w:p>
      <w:r>
        <w:rPr>
          <w:color w:val="555555"/>
          <w:sz w:val="17"/>
        </w:rPr>
        <w:t xml:space="preserve">Zitiervorschlag: § 5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