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NW_28384 (Nordrhein-Westfalen) — Auflösung</w:t>
      </w:r>
    </w:p>
    <w:p>
      <w:r>
        <w:rPr>
          <w:color w:val="555555"/>
          <w:sz w:val="18"/>
        </w:rPr>
        <w:t xml:space="preserve">NRW.BANK 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Bank kann nur durch Gesetz aufgelöst werden. Das Nähere regelt die Satzung.</w:t>
      </w:r>
    </w:p>
    <w:p>
      <w:r>
        <w:t xml:space="preserve">(2) Das Insolvenzverfahren über das Vermögen der Bank ist unzulässig.</w:t>
      </w:r>
    </w:p>
    <w:p>
      <w:r>
        <w:t xml:space="preserve">In-Kraft-Treten</w:t>
      </w:r>
    </w:p>
    <w:p>
      <w:r>
        <w:t xml:space="preserve">(Artikel 5 des Gesetzes zur Umstrukturierung der Landesbank Nordrhein-Westfalen zur Förderbank des Landes Nordrhein-Westfalen</w:t>
      </w:r>
    </w:p>
    <w:p>
      <w:r>
        <w:t xml:space="preserve">und zur Änderung anderer Gesetze vom 16. 3.2004 (GV. NRW. S. 126))</w:t>
      </w:r>
    </w:p>
    <w:p>
      <w:r>
        <w:t xml:space="preserve">Dieses Gesetz tritt am 31. März 2004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zugleich für den Finanzminister</w:t>
      </w:r>
    </w:p>
    <w:p>
      <w:r>
        <w:t xml:space="preserve">Der Minister</w:t>
      </w:r>
    </w:p>
    <w:p>
      <w:r>
        <w:t xml:space="preserve">für Wirtschaft und Arbeit</w:t>
      </w:r>
    </w:p>
    <w:p>
      <w:r>
        <w:t xml:space="preserve">Der Minister</w:t>
      </w:r>
    </w:p>
    <w:p>
      <w:r>
        <w:t xml:space="preserve">für Städtebau und Wohnen,</w:t>
      </w:r>
    </w:p>
    <w:p>
      <w:r>
        <w:t xml:space="preserve">Kultur und Sport</w:t>
      </w:r>
    </w:p>
    <w:p>
      <w:r>
        <w:rPr>
          <w:color w:val="555555"/>
          <w:sz w:val="17"/>
        </w:rPr>
        <w:t xml:space="preserve">Zitiervorschlag: § 17 NW_28384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https://recht.nulegal.eu/gesetze/NW_28384/17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