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NW_28375 (Nordrhein-Westfalen)</w:t>
      </w:r>
    </w:p>
    <w:p>
      <w:r>
        <w:rPr>
          <w:color w:val="555555"/>
          <w:sz w:val="18"/>
        </w:rPr>
        <w:t xml:space="preserve">DVO LHundG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Dezember 2003</w:t>
      </w:r>
    </w:p>
    <w:p>
      <w:r>
        <w:t xml:space="preserve">Auf Grund des § 16 Abs. 1 des Landeshundegesetzes NRW (LHundG NRW) vom 18. Dezember 2002 (GV. NRW. S. 656) wird verordnet:</w:t>
      </w:r>
    </w:p>
    <w:p>
      <w:r>
        <w:rPr>
          <w:color w:val="555555"/>
          <w:sz w:val="17"/>
        </w:rPr>
        <w:t xml:space="preserve">Zitiervorschlag: Eingangsformel NW_28375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https://recht.nulegal.eu/gesetze/NW_28375/eingangsformel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