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NW_28375 (Nordrhein-Westfalen) — Anerkennung zur Durchführung von Verhaltensprüfungen</w:t>
      </w:r>
    </w:p>
    <w:p>
      <w:r>
        <w:rPr>
          <w:color w:val="555555"/>
          <w:sz w:val="18"/>
        </w:rPr>
        <w:t xml:space="preserve">DVO LHundG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Sachverständige und sachverständige Stellen im Sinne von § 10 Absatz 2 des Landeshundegesetzes bedürfen der Anerkennung durch das Landesamt. § 2 Absatz 2 bis 5 gilt entsprechend. Es ist außerdem nachzuweisen, dass die räumlichen Voraussetzungen zur ordnungsgemäßen Durchführung einer Verhaltensprüfung vorliegen und das Prüfungsgelände gegen das Entweichen von Hunden ausreichend gesichert ist.</w:t>
      </w:r>
    </w:p>
    <w:p>
      <w:r>
        <w:rPr>
          <w:color w:val="555555"/>
          <w:sz w:val="17"/>
        </w:rPr>
        <w:t xml:space="preserve">Zitiervorschlag: § 4 NW_28375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https://recht.nulegal.eu/gesetze/NW_28375/4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