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 NW_28360 (Nordrhein-Westfalen) — In-Kraft-Treten, Berichtspflicht</w:t>
      </w:r>
    </w:p>
    <w:p>
      <w:r>
        <w:rPr>
          <w:color w:val="555555"/>
          <w:sz w:val="18"/>
        </w:rPr>
        <w:t xml:space="preserve">NP-VO Eifel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1. Januar 2004 in Kraft. Über die Erfahrungen mit dieser Verordnung ist der Landesregierung bis zum 31. Dezember 2010 zu berichten.</w:t>
      </w:r>
    </w:p>
    <w:p>
      <w:r>
        <w:t xml:space="preserve">Die Ministerin</w:t>
      </w:r>
    </w:p>
    <w:p>
      <w:r>
        <w:t xml:space="preserve">für Umwelt und Naturschutz,</w:t>
      </w:r>
    </w:p>
    <w:p>
      <w:r>
        <w:t xml:space="preserve">Landwirtschaft und Verbraucherschutz</w:t>
      </w:r>
    </w:p>
    <w:p>
      <w:r>
        <w:t xml:space="preserve">des Landes Nordrhein-Westfalen</w:t>
      </w:r>
    </w:p>
    <w:p>
      <w:r>
        <w:t xml:space="preserve">Hinweis</w:t>
      </w:r>
    </w:p>
    <w:p>
      <w:r>
        <w:t xml:space="preserve">Wiederherstellung des Verordnungsranges</w:t>
      </w:r>
    </w:p>
    <w:p>
      <w:r>
        <w:t xml:space="preserve">(Artikel 121 des Fünften Befristungsgesetzes vom 5.4.2005 (GV. NRW. S. 351))</w:t>
      </w:r>
    </w:p>
    <w:p>
      <w:r>
        <w:t xml:space="preserve">Die in diesem Gesetz erlassenen oder geänderten Rechtsverordnungen können aufgrund der jeweils einschlägigen Verordnungsermächtigungen durch Rechtsverordnung geändert werden.</w:t>
      </w:r>
    </w:p>
    <w:p>
      <w:r>
        <w:rPr>
          <w:color w:val="555555"/>
          <w:sz w:val="17"/>
        </w:rPr>
        <w:t xml:space="preserve">Zitiervorschlag: § 24 NW_28360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https://recht.nulegal.eu/gesetze/NW_28360/24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