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NW_28360 (Nordrhein-Westfalen) — Nationalparkort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Den Gebietskörperschaften gemäß § 2 Abs. 2 wird mit In-Kraft-Treten der Verordnung das Gütesiegel "Nationalparkkreis, -stadt oder -gemeinde" (Nationalparkort) verliehen.</w:t>
      </w:r>
    </w:p>
    <w:p>
      <w:r>
        <w:t xml:space="preserve">(2) Das Ministerium für Umwelt und Naturschutz, Landwirtschaft und Verbraucherschutz des Landes Nordrhein-Westfalen kann weiteren Gebietskörperschaften auf Antrag das Gütesiegel "Nationalparkkreis, -stadt oder -gemeinde" (Nationalparkort) verleihen.</w:t>
      </w:r>
    </w:p>
    <w:p>
      <w:r>
        <w:t xml:space="preserve">Abschnitt V</w:t>
      </w:r>
    </w:p>
    <w:p>
      <w:r>
        <w:t xml:space="preserve">Bußgeldbestimmungen</w:t>
      </w:r>
    </w:p>
    <w:p>
      <w:r>
        <w:rPr>
          <w:color w:val="555555"/>
          <w:sz w:val="17"/>
        </w:rPr>
        <w:t xml:space="preserve">Zitiervorschlag: § 22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