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NW_28360 (Nordrhein-Westfalen) — Nationalpark-Arbeitsgruppe</w:t>
      </w:r>
    </w:p>
    <w:p>
      <w:r>
        <w:rPr>
          <w:color w:val="555555"/>
          <w:sz w:val="18"/>
        </w:rPr>
        <w:t xml:space="preserve">NP-VO Eifel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Nationalpark-Arbeitsgruppe besteht aus den Mitgliedern des Kommunalen Nationalparkausschusses (§ 19) sowie</w:t>
      </w:r>
    </w:p>
    <w:p>
      <w:r>
        <w:t xml:space="preserve">aus je einem Vertreter oder einer Vertreterin</w:t>
      </w:r>
    </w:p>
    <w:p>
      <w:r>
        <w:t xml:space="preserve">- der Bezirksregierung Köln als höherer Naturschutzbehörde,</w:t>
      </w:r>
    </w:p>
    <w:p>
      <w:r>
        <w:t xml:space="preserve">- der Kreise Euskirchen und Düren sowie der Städteregion Aachen als unteren Naturschutzbehörden,</w:t>
      </w:r>
    </w:p>
    <w:p>
      <w:r>
        <w:t xml:space="preserve">- des Landesamtes für Natur, Umwelt und Verbraucherschutz Nordrhein-Westfalen (LANUV),</w:t>
      </w:r>
    </w:p>
    <w:p>
      <w:r>
        <w:t xml:space="preserve">- der obersten Jagdbehörde,</w:t>
      </w:r>
    </w:p>
    <w:p>
      <w:r>
        <w:t xml:space="preserve">- der höheren Forstbehörde,</w:t>
      </w:r>
    </w:p>
    <w:p>
      <w:r>
        <w:t xml:space="preserve">- der Biologischen Stationen in den Kreisen Euskirchen, Düren und Aachen,</w:t>
      </w:r>
    </w:p>
    <w:p>
      <w:r>
        <w:t xml:space="preserve">- der anerkannten Naturschutzvereinigungen im Sinne des § 66 Absatz 1 des Landesnaturschutzgesetzes in der Region,</w:t>
      </w:r>
    </w:p>
    <w:p>
      <w:r>
        <w:t xml:space="preserve">- des Fördervereins Nationalpark Eifel e.V.,</w:t>
      </w:r>
    </w:p>
    <w:p>
      <w:r>
        <w:t xml:space="preserve">- des Nationalpark-Beirates (§ 21),</w:t>
      </w:r>
    </w:p>
    <w:p>
      <w:r>
        <w:t xml:space="preserve">- der Lenkungsgruppe Konversion (befristet bis zum Abschluss der Konversion),</w:t>
      </w:r>
    </w:p>
    <w:p>
      <w:r>
        <w:t xml:space="preserve">- der zuständigen Dienststelle der Bundesvermögensverwaltung,</w:t>
      </w:r>
    </w:p>
    <w:p>
      <w:r>
        <w:t xml:space="preserve">- der Nordrhein-Westfalen-Stiftung Naturschutz, Heimat- und Kulturpflege,</w:t>
      </w:r>
    </w:p>
    <w:p>
      <w:r>
        <w:t xml:space="preserve">- des Deutsch-Belgischen Naturparks Hohes Venn-Eifel aus Nordrhein-Westfalen, Rheinland-Pfalz und Belgien,</w:t>
      </w:r>
    </w:p>
    <w:p>
      <w:r>
        <w:t xml:space="preserve">- aus dem Kreis der regionalen touristischen Organisationen,</w:t>
      </w:r>
    </w:p>
    <w:p>
      <w:r>
        <w:t xml:space="preserve">- aus dem Kreis der regionalen Sportorganisationen,</w:t>
      </w:r>
    </w:p>
    <w:p>
      <w:r>
        <w:t xml:space="preserve">- des Eifelvereins e.V.,</w:t>
      </w:r>
    </w:p>
    <w:p>
      <w:r>
        <w:t xml:space="preserve">- aus dem Kreis der regionalen Fischereiverbände,</w:t>
      </w:r>
    </w:p>
    <w:p>
      <w:r>
        <w:t xml:space="preserve">- der Wassergewinnungs- und -aufbereitungsgesellschaft mbH Nordeifel (WAG),</w:t>
      </w:r>
    </w:p>
    <w:p>
      <w:r>
        <w:t xml:space="preserve">- des Bundesministeriums für Umwelt, Naturschutz und Reaktorsicherheit.</w:t>
      </w:r>
    </w:p>
    <w:p>
      <w:r>
        <w:t xml:space="preserve">(2) Die Nationalparkverwaltung kann mit Zustimmung des Ministeriums für Umwelt und Naturschutz, Landwirtschaft und Verbraucherschutz des Landes Nordrhein-Westfalen weitere Mitglieder in die Arbeitsgruppe berufen. Unabhängig davon kann sie zu speziellen Sachfragen weitere sachverständige Personen hinzuziehen.</w:t>
      </w:r>
    </w:p>
    <w:p>
      <w:r>
        <w:t xml:space="preserve">(3) Die Leitung der Nationalpark-Arbeitsgruppe obliegt dem Leiter/ der Leiterin der Nationalparkverwaltung.</w:t>
      </w:r>
    </w:p>
    <w:p>
      <w:r>
        <w:rPr>
          <w:color w:val="555555"/>
          <w:sz w:val="17"/>
        </w:rPr>
        <w:t xml:space="preserve">Zitiervorschlag: § 20 NW_28360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https://recht.nulegal.eu/gesetze/NW_28360/20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