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NW_28360 (Nordrhein-Westfalen) — Kommunaler Nationalparkausschuss</w:t>
      </w:r>
    </w:p>
    <w:p>
      <w:r>
        <w:rPr>
          <w:color w:val="555555"/>
          <w:sz w:val="18"/>
        </w:rPr>
        <w:t xml:space="preserve">NP-VO Eifel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Unterstützung der Nationalparkverwaltung und zur Sicherung kommunaler Belange wird ein Ausschuss gebildet, der aus folgenden Mitgliedern besteht:</w:t>
      </w:r>
    </w:p>
    <w:p>
      <w:r>
        <w:t xml:space="preserve">- dem/der Regierungspräsidenten/Regierungspräsidentin der Bezirksregierung Köln,</w:t>
      </w:r>
    </w:p>
    <w:p>
      <w:r>
        <w:t xml:space="preserve">- dem Städteregionsrat / der Städteregionsrätin der Städteregion Aachen,</w:t>
      </w:r>
    </w:p>
    <w:p>
      <w:r>
        <w:t xml:space="preserve">- den Landräten/Landrätinnen der Kreise Euskirchen und Düren,</w:t>
      </w:r>
    </w:p>
    <w:p>
      <w:r>
        <w:t xml:space="preserve">- den Bürgermeistern/Bürgermeisterinnen der Städte und Gemeinden Heimbach, Hellenthal, Hürtgenwald, Kall, Mechernich, Monschau, Nideggen, Schleiden und Simmerath und</w:t>
      </w:r>
    </w:p>
    <w:p>
      <w:r>
        <w:t xml:space="preserve">- dem Vorstandsvorsitzenden des Wasserverbandes Eifel-Rur.</w:t>
      </w:r>
    </w:p>
    <w:p>
      <w:r>
        <w:t xml:space="preserve">Für jedes Mitglied wird ein/eine Stellvertreter/Stellvertreterin bestellt.</w:t>
      </w:r>
    </w:p>
    <w:p>
      <w:r>
        <w:t xml:space="preserve">(2) Der Kommunale Nationalparkausschuss hat in Grundsatzfragen - das sind insbesondere alle Fragen die den Nationalparkplan einschließlich des Wegeplans und des Maßnahmenplans betreffen - und langfristigen Planungen ein Vetorecht. Soweit keine Übereinstimmung mit der Nationalpark-Arbeitsgruppe und der Nationalparkverwaltung hergestellt werden kann, entscheidet unter Beachtung des Schutzzwecks (§ 3) das Ministerium für Umwelt und Naturschutz, Landwirtschaft und Verbraucherschutz des Landes Nordrhein-Westfalen im Benehmen mit den betroffenen Ressorts nach pflichtgemäßem Ermessen.</w:t>
      </w:r>
    </w:p>
    <w:p>
      <w:r>
        <w:t xml:space="preserve">(3) Die Nationalparkverwaltung unterrichtet den kommunalen Nationalparkausschuss zweimal jährlich über alle Planungen und Maßnahmen.</w:t>
      </w:r>
    </w:p>
    <w:p>
      <w:r>
        <w:rPr>
          <w:color w:val="555555"/>
          <w:sz w:val="17"/>
        </w:rPr>
        <w:t xml:space="preserve">Zitiervorschlag: § 19 NW_28360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https://recht.nulegal.eu/gesetze/NW_28360/19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