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NW_28360 (Nordrhein-Westfalen) — Wissenschaft und Forschung</w:t>
      </w:r>
    </w:p>
    <w:p>
      <w:r>
        <w:rPr>
          <w:color w:val="555555"/>
          <w:sz w:val="18"/>
        </w:rPr>
        <w:t xml:space="preserve">NP-VO Eifel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Wissenschaftliche Untersuchungen werden von der Nationalparkverwaltung durchgeführt oder koordiniert, um insbesondere</w:t>
      </w:r>
    </w:p>
    <w:p>
      <w:r>
        <w:t xml:space="preserve">1. den Aufbau und die Entwicklung der natürlichen und naturnahen Lebensgemeinschaften auf großer Fläche zu erkunden (z.B. allgemeines Gebietsmonitoring) und Grundlagen für die internationale Dokumentation von Umweltveränderungen zu liefern,</w:t>
      </w:r>
    </w:p>
    <w:p>
      <w:r>
        <w:t xml:space="preserve">2. Erkenntnisse für den Naturschutz, den Prozessschutz und über menschliche Eingriffe in natürlichen Bereichen und über die Entwicklung von Offenlandbiotopen zu liefern,</w:t>
      </w:r>
    </w:p>
    <w:p>
      <w:r>
        <w:t xml:space="preserve">3. Erkenntnisse für die Forstwissenschaft und die forstliche Praxis zu liefern.</w:t>
      </w:r>
    </w:p>
    <w:p>
      <w:r>
        <w:t xml:space="preserve">Unberührt bleibt das durch die LÖBF koordinierte Monitoring im Rahmen europäischer Berichtspflichten aufgrund der FFH- und EG-Vogelschutz-Richtlinie.</w:t>
      </w:r>
    </w:p>
    <w:p>
      <w:r>
        <w:t xml:space="preserve">(2) Geländeerhebungen im Rahmen wissenschaftlicher Untersuchungen bedürfen der Zulassung durch die zuständige untere Naturschutzbehörde. Auf die Unterrichtungspflicht gem. § 18 Abs. 2 Satz 2 wird hingewiesen. Befugnisse aufgrund anderer gesetzlicher Regelungen bleiben unberührt.</w:t>
      </w:r>
    </w:p>
    <w:p>
      <w:r>
        <w:rPr>
          <w:color w:val="555555"/>
          <w:sz w:val="17"/>
        </w:rPr>
        <w:t xml:space="preserve">Zitiervorschlag: § 11 NW_28360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https://recht.nulegal.eu/gesetze/NW_28360/11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