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NW_28355 (Nordrhein-Westfalen) — Betriebseröffnung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Betrieb einer Seilbahn darf erst eröffnet werden, wenn die Aufsichtsbehörde der Eröffnung zugestimmt hat.</w:t>
      </w:r>
    </w:p>
    <w:p>
      <w:r>
        <w:t xml:space="preserve">(2) Die Zustimmung zur Eröffnung des Betriebs wird erteilt, wenn</w:t>
      </w:r>
    </w:p>
    <w:p>
      <w:r>
        <w:t xml:space="preserve">1. die Seilbahn der Genehmigung entspricht, ihre Betriebssicherheit gewährleistet ist und der Antragsteller darüber ein Gutachten einer vom für das Verkehrswesen zuständigen Ministerium anerkannten sachverständigen Stelle vorlegt (Betriebsabnahme),</w:t>
      </w:r>
    </w:p>
    <w:p>
      <w:r>
        <w:t xml:space="preserve">2. der Nachweis der vor der Betriebseröffnung zu erfüllenden Nebenbestimmungen der Genehmigung erbracht ist,</w:t>
      </w:r>
    </w:p>
    <w:p>
      <w:r>
        <w:t xml:space="preserve">3. ein Betriebsleiter und mindestens eine Person als Stellvertretung nach Maßgabe des § 11 bestellt sind und die Bestellung bestätigt ist,</w:t>
      </w:r>
    </w:p>
    <w:p>
      <w:r>
        <w:t xml:space="preserve">4. das Seilbahnunternehmen ausreichend versichert ist (§ 12).</w:t>
      </w:r>
    </w:p>
    <w:p>
      <w:r>
        <w:t xml:space="preserve">(3) Für genehmigungspflichtige Änderungen der Seilbahn gelten die Absätze 1 und 2 entsprechend.</w:t>
      </w:r>
    </w:p>
    <w:p>
      <w:r>
        <w:rPr>
          <w:color w:val="555555"/>
          <w:sz w:val="17"/>
        </w:rPr>
        <w:t xml:space="preserve">Zitiervorschlag: § 6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