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NW_28355 (Nordrhein-Westfalen) — Änderungsanzeige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Seilbahnunternehmer hat Änderungen der Seilbahn, die keiner Genehmigung nach § 4 bedürfen, vor ihrer Ausführung der Aufsichtsbehörde anzuzeigen. Anzeigepflichtig sind insbesondere Änderungen der Fahrzeuge im Sinne von Nummer 4 des Anhangs I der Verordnung (EU) Nr. 2016/424 oder der Betriebsweise der Seilbahn.</w:t>
      </w:r>
    </w:p>
    <w:p>
      <w:r>
        <w:t xml:space="preserve">(2) Mit der Änderung darf erst begonnen werden, wenn die Aufsichtsbehörde zugestimmt oder innerhalb von sechs Wochen nach Eingang der Anzeige keinen Bescheid erteilt hat.</w:t>
      </w:r>
    </w:p>
    <w:p>
      <w:r>
        <w:t xml:space="preserve">(3) Die Aufsichtsbehörde kann sich die Zustimmung zur Betriebseröffnung vorbehalten.</w:t>
      </w:r>
    </w:p>
    <w:p>
      <w:r>
        <w:t xml:space="preserve">(4) Zur Prüfung der technischen Unterlagen bei Seilbahnen kann die Aufsichtsbehörde verlangen, dass der Seilbahnunternehmer das Gutachten einer vom für das Verkehrswesen zuständigen Ministerium anerkannten sachverständigen Stelle vorlegt.</w:t>
      </w:r>
    </w:p>
    <w:p>
      <w:r>
        <w:t xml:space="preserve">(5) Änderungen im Sinne des Absatzes 1, die die Betriebssicherheit nicht berühren oder nur der Unterhaltung dienen, sind von der Anzeigepflicht ausgenommen.</w:t>
      </w:r>
    </w:p>
    <w:p>
      <w:r>
        <w:rPr>
          <w:color w:val="555555"/>
          <w:sz w:val="17"/>
        </w:rPr>
        <w:t xml:space="preserve">Zitiervorschlag: § 5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