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NW_28355 (Nordrhein-Westfalen) — Inkrafttreten und Außerkrafttreten bisherigen Rechts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Gleichzeitig wird das Landeseisenbahngesetz vom 5. Februar 1957 (GV. NRW. S. 11), zuletzt geändert durch Artikel 6 des Gesetzes vom 29. April 1992 (GV. NRW. S.175), wie folgt geändert:</w:t>
      </w:r>
    </w:p>
    <w:p>
      <w:r>
        <w:t xml:space="preserve">1. § 1 Abs. 3 wird wie folgt gefasst:</w:t>
      </w:r>
    </w:p>
    <w:p>
      <w:r>
        <w:t xml:space="preserve">"Das Gesetz gilt auch für Zahnradbahnen des öffentlichen Verkehrs".</w:t>
      </w:r>
    </w:p>
    <w:p>
      <w:r>
        <w:t xml:space="preserve">2. In § 13 Abs. 1 Satz 2 werden die Wörter "Bergbahnen und Seilbahnen" durch das Wort "Zahnradbahnen" ersetzt.</w:t>
      </w:r>
    </w:p>
    <w:p>
      <w:r>
        <w:t xml:space="preserve">3. In § 39 Abs. 1 Satz 2 werden die Wörter "Bergbahnen und Seilbahnen" durch das Wort "Zahnradbahnen" ersetzt.</w:t>
      </w:r>
    </w:p>
    <w:p>
      <w:r>
        <w:t xml:space="preserve">(3) Verordnungen, die auf der Grundlage von nach Absatz 2 geänderten Vorschriften erlassen worden sind, gelten fort. Soweit in diesen Verordnungen auf nach Absatz 2 geänderte Vorschriften verwiesen wird, treten an ihre Stelle die entsprechenden Vorschriften dieses Gesetzes.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Minister</w:t>
      </w:r>
    </w:p>
    <w:p>
      <w:r>
        <w:t xml:space="preserve">für Verkehr, Energie und Landesplanung</w:t>
      </w:r>
    </w:p>
    <w:p>
      <w:r>
        <w:t xml:space="preserve">Hinweis:</w:t>
      </w:r>
    </w:p>
    <w:p>
      <w:r>
        <w:t xml:space="preserve">(Artikel 5 des Gesetzes zur Modernisierung des Verwaltungsverfahrensgesetzes und zur Anpassung weiterer Rechtsvorschriften vom 20. Mai 2014 (GV. NRW. S. 294))</w:t>
      </w:r>
    </w:p>
    <w:p>
      <w:r>
        <w:t xml:space="preserve">Inkrafttreten</w:t>
      </w:r>
    </w:p>
    <w:p>
      <w:r>
        <w:t xml:space="preserve">(1) Dieses Gesetz tritt am Tag nach der Verkündung in Kraft.</w:t>
      </w:r>
    </w:p>
    <w:p>
      <w:r>
        <w:t xml:space="preserve">(2) Vor dem Inkrafttreten begonnene Planfeststellungs- und Plangenehmigungsverfahren sind nach den Vorschriften dieses Gesetzes zu Ende zu führen. Einer Nachholung von Verfahrenshandlungen, deren Erforderlichkeit sich erstmals aus den Vorschriften dieses Gesetzes ergibt, bedarf es nicht.</w:t>
      </w:r>
    </w:p>
    <w:p>
      <w:r>
        <w:rPr>
          <w:color w:val="555555"/>
          <w:sz w:val="17"/>
        </w:rPr>
        <w:t xml:space="preserve">Zitiervorschlag: § 23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