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NW_28355 (Nordrhein-Westfalen) — Übergangsregelung</w:t>
      </w:r>
    </w:p>
    <w:p>
      <w:r>
        <w:rPr>
          <w:color w:val="555555"/>
          <w:sz w:val="18"/>
        </w:rPr>
        <w:t xml:space="preserve">SeilbG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eine in Betrieb befindliche Seilbahn nach bisherigem Recht ohne Genehmigung betrieben werden durfte, gilt die Seilbahn nach Maßgabe dieses Gesetzes als genehmigt.</w:t>
      </w:r>
    </w:p>
    <w:p>
      <w:r>
        <w:t xml:space="preserve">(2) Bei Seilbahnen, die vor dem 21. April 2018 errichtet wurden, gilt § 6 zur Betriebseröffnung mit der Maßgabe, dass die Seilbahn anstelle der Anforderungen der Verordnung (EU) Nr. 2016/424 die auf sie anwendbaren Anforderungen der Richtlinie 2000/9/EG erfüllen muss.</w:t>
      </w:r>
    </w:p>
    <w:p>
      <w:r>
        <w:t xml:space="preserve">(3) Teilsysteme und Sicherheitsbauteile sind in Seilbahnen auch zulässig, wenn sie in Übereinstimmung mit der Richtlinie 2000/9/EG vor dem 21. April 2018 in Verkehr gebracht wurden. Soweit dieses Gesetz vorsieht, dass EU-Konformitätserklärungen oder sonstige Unterlagen im Zusammenhang mit der Konformität von Teilsystemen und Sicherheitsbauteilen vorzulegen oder aufzubewahren sind, erstreckt sich diese Pflicht auf die Vorlage oder Aufbewahrung von nach Artikel 46 der Verordnung (EU) Nr. 2016/424 weiterhin gültigen Bescheinigungen und Zulassungen.</w:t>
      </w:r>
    </w:p>
    <w:p>
      <w:r>
        <w:rPr>
          <w:color w:val="555555"/>
          <w:sz w:val="17"/>
        </w:rPr>
        <w:t xml:space="preserve">Zitiervorschlag: § 22 NW_28355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https://recht.nulegal.eu/gesetze/NW_28355/22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