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NW_28355 (Nordrhein-Westfalen) — Weitere Ordnungswidrigkeiten</w:t>
      </w:r>
    </w:p>
    <w:p>
      <w:r>
        <w:rPr>
          <w:color w:val="555555"/>
          <w:sz w:val="18"/>
        </w:rPr>
        <w:t xml:space="preserve">SeilbG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Mit Geldbuße bis zu zweitausendfünfhundert Euro kann belegt werden, wer vorsätzlich oder fahrlässig</w:t>
      </w:r>
    </w:p>
    <w:p>
      <w:r>
        <w:t xml:space="preserve">1. entgegen § 4 eine Seilbahn baut oder die Anlage wesentlich ändert,</w:t>
      </w:r>
    </w:p>
    <w:p>
      <w:r>
        <w:t xml:space="preserve">2. entgegen § 5 Abs. 1 eine Änderung nicht, nicht richtig oder nicht rechtzeitig anzeigt oder entgegen § 5 Abs. 2 eine Änderung beginnt oder</w:t>
      </w:r>
    </w:p>
    <w:p>
      <w:r>
        <w:t xml:space="preserve">3. einer nach § 19 erlassenen Rechtsverordnung, soweit diese für einen bestimmten Tatbestand auf diese Bußgeldvorschriften verweist, oder einer auf Grund einer solchen Rechtsverordnung ergangenen vollziehbaren Anordnung zuwider handelt.</w:t>
      </w:r>
    </w:p>
    <w:p>
      <w:r>
        <w:t xml:space="preserve">Fünfter Abschnitt</w:t>
      </w:r>
    </w:p>
    <w:p>
      <w:r>
        <w:t xml:space="preserve">Übergangsbestimmungen, In-Kraft-Treten</w:t>
      </w:r>
    </w:p>
    <w:p>
      <w:r>
        <w:t xml:space="preserve">und Außer-Kraft-Treten bisherigen Rechts</w:t>
      </w:r>
    </w:p>
    <w:p>
      <w:r>
        <w:rPr>
          <w:color w:val="555555"/>
          <w:sz w:val="17"/>
        </w:rPr>
        <w:t xml:space="preserve">Zitiervorschlag: § 21 NW_28355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https://recht.nulegal.eu/gesetze/NW_28355/21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